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974C7" w14:textId="77777777" w:rsidR="00490560" w:rsidRDefault="00000000">
      <w:pPr>
        <w:spacing w:before="4000"/>
        <w:jc w:val="center"/>
      </w:pPr>
      <w:r>
        <w:rPr>
          <w:b/>
          <w:color w:val="2C3E50"/>
          <w:sz w:val="96"/>
        </w:rPr>
        <w:t>MOMENTUM SPORTS</w:t>
      </w:r>
    </w:p>
    <w:p w14:paraId="5551AC2A" w14:textId="77777777" w:rsidR="00490560" w:rsidRDefault="00000000">
      <w:pPr>
        <w:jc w:val="center"/>
      </w:pPr>
      <w:r>
        <w:rPr>
          <w:i/>
          <w:color w:val="7F8C8D"/>
          <w:sz w:val="48"/>
        </w:rPr>
        <w:t>"Built for the Journey"</w:t>
      </w:r>
    </w:p>
    <w:p w14:paraId="3946B81A" w14:textId="77777777" w:rsidR="00490560" w:rsidRDefault="00000000">
      <w:pPr>
        <w:spacing w:before="2000"/>
        <w:jc w:val="center"/>
      </w:pPr>
      <w:r>
        <w:rPr>
          <w:b/>
          <w:color w:val="2C3E50"/>
          <w:sz w:val="72"/>
        </w:rPr>
        <w:t>SUCCESSION PLANNING</w:t>
      </w:r>
      <w:r>
        <w:rPr>
          <w:b/>
          <w:color w:val="2C3E50"/>
          <w:sz w:val="72"/>
        </w:rPr>
        <w:br/>
        <w:t>&amp;</w:t>
      </w:r>
      <w:r>
        <w:rPr>
          <w:b/>
          <w:color w:val="2C3E50"/>
          <w:sz w:val="72"/>
        </w:rPr>
        <w:br/>
      </w:r>
      <w:r>
        <w:rPr>
          <w:b/>
          <w:color w:val="2C3E50"/>
          <w:sz w:val="72"/>
        </w:rPr>
        <w:lastRenderedPageBreak/>
        <w:t>HIGH-POTENTIAL EMPLOYEE MATRIX</w:t>
      </w:r>
    </w:p>
    <w:p w14:paraId="6911860C" w14:textId="77777777" w:rsidR="00490560" w:rsidRDefault="00000000">
      <w:pPr>
        <w:spacing w:before="3000"/>
        <w:jc w:val="center"/>
      </w:pPr>
      <w:r>
        <w:rPr>
          <w:color w:val="7F8C8D"/>
          <w:sz w:val="52"/>
        </w:rPr>
        <w:t>Strategic Talent Review</w:t>
      </w:r>
    </w:p>
    <w:p w14:paraId="60507AEF" w14:textId="77777777" w:rsidR="00490560" w:rsidRDefault="00000000">
      <w:pPr>
        <w:spacing w:before="4000"/>
        <w:jc w:val="center"/>
      </w:pPr>
      <w:r>
        <w:rPr>
          <w:sz w:val="44"/>
        </w:rPr>
        <w:t>Prepared: January 2026</w:t>
      </w:r>
    </w:p>
    <w:p w14:paraId="0A891757" w14:textId="77777777" w:rsidR="00490560" w:rsidRDefault="00000000">
      <w:pPr>
        <w:spacing w:before="1000"/>
        <w:jc w:val="center"/>
      </w:pPr>
      <w:r>
        <w:rPr>
          <w:b/>
          <w:color w:val="E74C3C"/>
          <w:sz w:val="44"/>
        </w:rPr>
        <w:t>CONFIDENTIAL - EXECUTIVE USE ONLY</w:t>
      </w:r>
    </w:p>
    <w:p w14:paraId="48512964" w14:textId="77777777" w:rsidR="00490560" w:rsidRDefault="00000000">
      <w:r>
        <w:br w:type="page"/>
      </w:r>
    </w:p>
    <w:p w14:paraId="6CADB16D" w14:textId="77777777" w:rsidR="00490560" w:rsidRDefault="00000000">
      <w:pPr>
        <w:pStyle w:val="Heading1"/>
      </w:pPr>
      <w:r>
        <w:t>EXECUTIVE SUMMARY</w:t>
      </w:r>
    </w:p>
    <w:p w14:paraId="5E7C831B" w14:textId="77777777" w:rsidR="00490560" w:rsidRDefault="00000000">
      <w:r>
        <w:t>This succession planning document provides a comprehensive assessment of Momentum Sports' leadership pipeline and talent development strategy. As a lean organization with 16 core employees managing $109.8M in annual revenue across three continents, identifying and developing future leaders is critical to sustaining our growth and operational excellence.</w:t>
      </w:r>
    </w:p>
    <w:p w14:paraId="69BE7AD9" w14:textId="77777777" w:rsidR="00490560" w:rsidRDefault="00000000">
      <w:pPr>
        <w:pStyle w:val="Heading2"/>
      </w:pPr>
      <w:r>
        <w:t>Key Findings</w:t>
      </w:r>
    </w:p>
    <w:p w14:paraId="4B7BC114" w14:textId="77777777" w:rsidR="00490560" w:rsidRDefault="00000000">
      <w:pPr>
        <w:pStyle w:val="ListBullet"/>
      </w:pPr>
      <w:r>
        <w:t>7 high-potential employees identified (44% of core team)</w:t>
      </w:r>
    </w:p>
    <w:p w14:paraId="65AB0BD5" w14:textId="77777777" w:rsidR="00490560" w:rsidRDefault="00000000">
      <w:pPr>
        <w:pStyle w:val="ListBullet"/>
      </w:pPr>
      <w:r>
        <w:t>Strong internal succession candidates for 5 of 6 executive positions</w:t>
      </w:r>
    </w:p>
    <w:p w14:paraId="6DF1D5F9" w14:textId="77777777" w:rsidR="00490560" w:rsidRDefault="00000000">
      <w:pPr>
        <w:pStyle w:val="ListBullet"/>
      </w:pPr>
      <w:r>
        <w:t>3 critical roles require immediate development attention</w:t>
      </w:r>
    </w:p>
    <w:p w14:paraId="71AAAB5D" w14:textId="77777777" w:rsidR="00490560" w:rsidRDefault="00000000">
      <w:pPr>
        <w:pStyle w:val="ListBullet"/>
      </w:pPr>
      <w:r>
        <w:t>Average readiness timeline: 2-3 years for executive roles</w:t>
      </w:r>
    </w:p>
    <w:p w14:paraId="3B7CFD01" w14:textId="77777777" w:rsidR="00490560" w:rsidRDefault="00000000">
      <w:pPr>
        <w:pStyle w:val="ListBullet"/>
      </w:pPr>
      <w:r>
        <w:t>Development investment required: ~$150K annually for leadership programs</w:t>
      </w:r>
    </w:p>
    <w:p w14:paraId="4502F0B2" w14:textId="77777777" w:rsidR="00490560" w:rsidRDefault="00000000">
      <w:pPr>
        <w:pStyle w:val="Heading2"/>
      </w:pPr>
      <w:r>
        <w:t>Strategic Priorities</w:t>
      </w:r>
    </w:p>
    <w:p w14:paraId="1CD8B4A2" w14:textId="77777777" w:rsidR="00490560" w:rsidRDefault="00000000">
      <w:r>
        <w:rPr>
          <w:b/>
        </w:rPr>
        <w:t>1. Immediate Actions (0-6 months)</w:t>
      </w:r>
    </w:p>
    <w:p w14:paraId="409667C5" w14:textId="77777777" w:rsidR="00490560" w:rsidRDefault="00000000">
      <w:pPr>
        <w:pStyle w:val="ListBullet2"/>
      </w:pPr>
      <w:r>
        <w:t>Identify emergency backup for General Manager role</w:t>
      </w:r>
    </w:p>
    <w:p w14:paraId="6517BDE4" w14:textId="77777777" w:rsidR="00490560" w:rsidRDefault="00000000">
      <w:pPr>
        <w:pStyle w:val="ListBullet2"/>
      </w:pPr>
      <w:r>
        <w:t>Cross-train Operations managers to mitigate single points of failure</w:t>
      </w:r>
    </w:p>
    <w:p w14:paraId="5ADCBF0D" w14:textId="77777777" w:rsidR="00490560" w:rsidRDefault="00000000">
      <w:pPr>
        <w:pStyle w:val="ListBullet2"/>
      </w:pPr>
      <w:r>
        <w:t>Implement structured mentoring program for high-potential employees</w:t>
      </w:r>
    </w:p>
    <w:p w14:paraId="619A2CCA" w14:textId="77777777" w:rsidR="00490560" w:rsidRDefault="00000000">
      <w:r>
        <w:rPr>
          <w:b/>
        </w:rPr>
        <w:t>2. Short-term Actions (6-18 months)</w:t>
      </w:r>
    </w:p>
    <w:p w14:paraId="72B51DC4" w14:textId="77777777" w:rsidR="00490560" w:rsidRDefault="00000000">
      <w:pPr>
        <w:pStyle w:val="ListBullet2"/>
      </w:pPr>
      <w:r>
        <w:t>Develop COO and CFO successors through strategic project leadership</w:t>
      </w:r>
    </w:p>
    <w:p w14:paraId="2943E6FC" w14:textId="77777777" w:rsidR="00490560" w:rsidRDefault="00000000">
      <w:pPr>
        <w:pStyle w:val="ListBullet2"/>
      </w:pPr>
      <w:r>
        <w:t>Create leadership development curriculum for identified high-potentials</w:t>
      </w:r>
    </w:p>
    <w:p w14:paraId="2D0111E9" w14:textId="77777777" w:rsidR="00490560" w:rsidRDefault="00000000">
      <w:pPr>
        <w:pStyle w:val="ListBullet2"/>
      </w:pPr>
      <w:r>
        <w:t>Establish executive shadowing and rotation programs</w:t>
      </w:r>
    </w:p>
    <w:p w14:paraId="1D18F29C" w14:textId="77777777" w:rsidR="00490560" w:rsidRDefault="00000000">
      <w:r>
        <w:rPr>
          <w:b/>
        </w:rPr>
        <w:t>3. Long-term Actions (18-36 months)</w:t>
      </w:r>
    </w:p>
    <w:p w14:paraId="612011C7" w14:textId="77777777" w:rsidR="00490560" w:rsidRDefault="00000000">
      <w:pPr>
        <w:pStyle w:val="ListBullet2"/>
      </w:pPr>
      <w:r>
        <w:t>Build bench strength for Sales Director and CTO positions</w:t>
      </w:r>
    </w:p>
    <w:p w14:paraId="2656E798" w14:textId="77777777" w:rsidR="00490560" w:rsidRDefault="00000000">
      <w:pPr>
        <w:pStyle w:val="ListBullet2"/>
      </w:pPr>
      <w:r>
        <w:t>Develop strategic talent acquisition plan for specialized roles</w:t>
      </w:r>
    </w:p>
    <w:p w14:paraId="6EFF8610" w14:textId="77777777" w:rsidR="00490560" w:rsidRDefault="00000000">
      <w:pPr>
        <w:pStyle w:val="ListBullet2"/>
      </w:pPr>
      <w:r>
        <w:t>Create clear career pathways for emerging talent</w:t>
      </w:r>
    </w:p>
    <w:p w14:paraId="5BC6F777" w14:textId="77777777" w:rsidR="00490560" w:rsidRDefault="00000000">
      <w:r>
        <w:br w:type="page"/>
      </w:r>
    </w:p>
    <w:p w14:paraId="7B10808B" w14:textId="77777777" w:rsidR="00490560" w:rsidRDefault="00000000">
      <w:pPr>
        <w:pStyle w:val="Heading1"/>
      </w:pPr>
      <w:r>
        <w:t>HIGH-POTENTIAL EMPLOYEE MATRIX</w:t>
      </w:r>
    </w:p>
    <w:p w14:paraId="43205F6A" w14:textId="77777777" w:rsidR="00490560" w:rsidRDefault="00000000">
      <w:r>
        <w:t>The 9-Box Grid assesses employees on two dimensions: Performance (current results) and Potential (capacity for growth). This tool helps identify high-potential employees and informs development and succession planning decisions.</w:t>
      </w:r>
    </w:p>
    <w:p w14:paraId="4BF9365B" w14:textId="77777777" w:rsidR="00490560" w:rsidRDefault="00000000">
      <w:pPr>
        <w:pStyle w:val="Heading2"/>
      </w:pPr>
      <w:r>
        <w:t>9-Box Talent Grid</w:t>
      </w:r>
    </w:p>
    <w:tbl>
      <w:tblPr>
        <w:tblStyle w:val="LightGrid-Accent1"/>
        <w:tblW w:w="0" w:type="auto"/>
        <w:tblLook w:val="04A0" w:firstRow="1" w:lastRow="0" w:firstColumn="1" w:lastColumn="0" w:noHBand="0" w:noVBand="1"/>
      </w:tblPr>
      <w:tblGrid>
        <w:gridCol w:w="2087"/>
        <w:gridCol w:w="2221"/>
        <w:gridCol w:w="2193"/>
        <w:gridCol w:w="2119"/>
      </w:tblGrid>
      <w:tr w:rsidR="00490560" w14:paraId="752F99A0" w14:textId="77777777" w:rsidTr="004905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shd w:val="clear" w:color="auto" w:fill="2C3E50"/>
          </w:tcPr>
          <w:p w14:paraId="32A71A86" w14:textId="77777777" w:rsidR="00490560" w:rsidRDefault="00000000">
            <w:pPr>
              <w:jc w:val="center"/>
            </w:pPr>
            <w:r>
              <w:rPr>
                <w:color w:val="FFFFFF"/>
              </w:rPr>
              <w:t>POTENTIAL →</w:t>
            </w:r>
            <w:r>
              <w:rPr>
                <w:color w:val="FFFFFF"/>
              </w:rPr>
              <w:br/>
              <w:t>PERFORMANCE ↓</w:t>
            </w:r>
          </w:p>
        </w:tc>
        <w:tc>
          <w:tcPr>
            <w:tcW w:w="2592" w:type="dxa"/>
            <w:shd w:val="clear" w:color="auto" w:fill="2C3E50"/>
          </w:tcPr>
          <w:p w14:paraId="4FB15BDF" w14:textId="77777777" w:rsidR="00490560" w:rsidRDefault="00000000">
            <w:pPr>
              <w:jc w:val="center"/>
              <w:cnfStyle w:val="100000000000" w:firstRow="1" w:lastRow="0" w:firstColumn="0" w:lastColumn="0" w:oddVBand="0" w:evenVBand="0" w:oddHBand="0" w:evenHBand="0" w:firstRowFirstColumn="0" w:firstRowLastColumn="0" w:lastRowFirstColumn="0" w:lastRowLastColumn="0"/>
            </w:pPr>
            <w:r>
              <w:rPr>
                <w:color w:val="FFFFFF"/>
              </w:rPr>
              <w:t>Limited</w:t>
            </w:r>
            <w:r>
              <w:rPr>
                <w:color w:val="FFFFFF"/>
              </w:rPr>
              <w:br/>
              <w:t>Potential</w:t>
            </w:r>
          </w:p>
        </w:tc>
        <w:tc>
          <w:tcPr>
            <w:tcW w:w="2592" w:type="dxa"/>
            <w:shd w:val="clear" w:color="auto" w:fill="2C3E50"/>
          </w:tcPr>
          <w:p w14:paraId="621E6801" w14:textId="77777777" w:rsidR="00490560" w:rsidRDefault="00000000">
            <w:pPr>
              <w:jc w:val="center"/>
              <w:cnfStyle w:val="100000000000" w:firstRow="1" w:lastRow="0" w:firstColumn="0" w:lastColumn="0" w:oddVBand="0" w:evenVBand="0" w:oddHBand="0" w:evenHBand="0" w:firstRowFirstColumn="0" w:firstRowLastColumn="0" w:lastRowFirstColumn="0" w:lastRowLastColumn="0"/>
            </w:pPr>
            <w:r>
              <w:rPr>
                <w:color w:val="FFFFFF"/>
              </w:rPr>
              <w:t>Moderate</w:t>
            </w:r>
            <w:r>
              <w:rPr>
                <w:color w:val="FFFFFF"/>
              </w:rPr>
              <w:br/>
              <w:t>Potential</w:t>
            </w:r>
          </w:p>
        </w:tc>
        <w:tc>
          <w:tcPr>
            <w:tcW w:w="2592" w:type="dxa"/>
            <w:shd w:val="clear" w:color="auto" w:fill="2C3E50"/>
          </w:tcPr>
          <w:p w14:paraId="4388E114" w14:textId="77777777" w:rsidR="00490560" w:rsidRDefault="00000000">
            <w:pPr>
              <w:jc w:val="center"/>
              <w:cnfStyle w:val="100000000000" w:firstRow="1" w:lastRow="0" w:firstColumn="0" w:lastColumn="0" w:oddVBand="0" w:evenVBand="0" w:oddHBand="0" w:evenHBand="0" w:firstRowFirstColumn="0" w:firstRowLastColumn="0" w:lastRowFirstColumn="0" w:lastRowLastColumn="0"/>
            </w:pPr>
            <w:r>
              <w:rPr>
                <w:color w:val="FFFFFF"/>
              </w:rPr>
              <w:t>High</w:t>
            </w:r>
            <w:r>
              <w:rPr>
                <w:color w:val="FFFFFF"/>
              </w:rPr>
              <w:br/>
              <w:t>Potential</w:t>
            </w:r>
          </w:p>
        </w:tc>
      </w:tr>
      <w:tr w:rsidR="00490560" w14:paraId="7C1258CE"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shd w:val="clear" w:color="auto" w:fill="2C3E50"/>
          </w:tcPr>
          <w:p w14:paraId="3E257567" w14:textId="77777777" w:rsidR="00490560" w:rsidRDefault="00000000">
            <w:pPr>
              <w:jc w:val="center"/>
            </w:pPr>
            <w:r>
              <w:rPr>
                <w:color w:val="FFFFFF"/>
              </w:rPr>
              <w:t>High</w:t>
            </w:r>
            <w:r>
              <w:rPr>
                <w:color w:val="FFFFFF"/>
              </w:rPr>
              <w:br/>
              <w:t>Performance</w:t>
            </w:r>
          </w:p>
        </w:tc>
        <w:tc>
          <w:tcPr>
            <w:tcW w:w="2592" w:type="dxa"/>
            <w:shd w:val="clear" w:color="auto" w:fill="B8E6B8"/>
          </w:tcPr>
          <w:p w14:paraId="3E15C802" w14:textId="77777777" w:rsidR="00490560" w:rsidRDefault="00000000">
            <w:pPr>
              <w:jc w:val="center"/>
              <w:cnfStyle w:val="000000100000" w:firstRow="0" w:lastRow="0" w:firstColumn="0" w:lastColumn="0" w:oddVBand="0" w:evenVBand="0" w:oddHBand="1" w:evenHBand="0" w:firstRowFirstColumn="0" w:firstRowLastColumn="0" w:lastRowFirstColumn="0" w:lastRowLastColumn="0"/>
            </w:pPr>
            <w:r>
              <w:t>Solid Professional</w:t>
            </w:r>
            <w:r>
              <w:br/>
            </w:r>
            <w:r>
              <w:br/>
              <w:t>Quinn Taylor</w:t>
            </w:r>
            <w:r>
              <w:br/>
              <w:t>Avery Wilson</w:t>
            </w:r>
          </w:p>
        </w:tc>
        <w:tc>
          <w:tcPr>
            <w:tcW w:w="2592" w:type="dxa"/>
            <w:shd w:val="clear" w:color="auto" w:fill="A8D8EA"/>
          </w:tcPr>
          <w:p w14:paraId="64A6DB87" w14:textId="77777777" w:rsidR="00490560" w:rsidRDefault="00000000">
            <w:pPr>
              <w:jc w:val="center"/>
              <w:cnfStyle w:val="000000100000" w:firstRow="0" w:lastRow="0" w:firstColumn="0" w:lastColumn="0" w:oddVBand="0" w:evenVBand="0" w:oddHBand="1" w:evenHBand="0" w:firstRowFirstColumn="0" w:firstRowLastColumn="0" w:lastRowFirstColumn="0" w:lastRowLastColumn="0"/>
            </w:pPr>
            <w:r>
              <w:t>Key Player</w:t>
            </w:r>
            <w:r>
              <w:br/>
            </w:r>
            <w:r>
              <w:br/>
              <w:t>Morgan Davis</w:t>
            </w:r>
            <w:r>
              <w:br/>
              <w:t>Casey Brown</w:t>
            </w:r>
          </w:p>
        </w:tc>
        <w:tc>
          <w:tcPr>
            <w:tcW w:w="2592" w:type="dxa"/>
            <w:shd w:val="clear" w:color="auto" w:fill="FFD700"/>
          </w:tcPr>
          <w:p w14:paraId="7040ABF9" w14:textId="77777777" w:rsidR="00490560" w:rsidRDefault="00000000">
            <w:pPr>
              <w:jc w:val="center"/>
              <w:cnfStyle w:val="000000100000" w:firstRow="0" w:lastRow="0" w:firstColumn="0" w:lastColumn="0" w:oddVBand="0" w:evenVBand="0" w:oddHBand="1" w:evenHBand="0" w:firstRowFirstColumn="0" w:firstRowLastColumn="0" w:lastRowFirstColumn="0" w:lastRowLastColumn="0"/>
            </w:pPr>
            <w:r>
              <w:t>Future Leader</w:t>
            </w:r>
            <w:r>
              <w:br/>
            </w:r>
            <w:r>
              <w:br/>
              <w:t>Jamie Patel</w:t>
            </w:r>
            <w:r>
              <w:br/>
              <w:t>Rowan Mitchell</w:t>
            </w:r>
          </w:p>
        </w:tc>
      </w:tr>
      <w:tr w:rsidR="00490560" w14:paraId="6103B8F0" w14:textId="77777777" w:rsidTr="004905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shd w:val="clear" w:color="auto" w:fill="2C3E50"/>
          </w:tcPr>
          <w:p w14:paraId="66E5BFA9" w14:textId="77777777" w:rsidR="00490560" w:rsidRDefault="00000000">
            <w:pPr>
              <w:jc w:val="center"/>
            </w:pPr>
            <w:r>
              <w:rPr>
                <w:color w:val="FFFFFF"/>
              </w:rPr>
              <w:t>Moderate</w:t>
            </w:r>
            <w:r>
              <w:rPr>
                <w:color w:val="FFFFFF"/>
              </w:rPr>
              <w:br/>
              <w:t>Performance</w:t>
            </w:r>
          </w:p>
        </w:tc>
        <w:tc>
          <w:tcPr>
            <w:tcW w:w="2592" w:type="dxa"/>
            <w:shd w:val="clear" w:color="auto" w:fill="FFF8DC"/>
          </w:tcPr>
          <w:p w14:paraId="16F694BB" w14:textId="77777777" w:rsidR="00490560" w:rsidRDefault="00000000">
            <w:pPr>
              <w:jc w:val="center"/>
              <w:cnfStyle w:val="000000010000" w:firstRow="0" w:lastRow="0" w:firstColumn="0" w:lastColumn="0" w:oddVBand="0" w:evenVBand="0" w:oddHBand="0" w:evenHBand="1" w:firstRowFirstColumn="0" w:firstRowLastColumn="0" w:lastRowFirstColumn="0" w:lastRowLastColumn="0"/>
            </w:pPr>
            <w:r>
              <w:t>Effective Professional</w:t>
            </w:r>
            <w:r>
              <w:br/>
            </w:r>
            <w:r>
              <w:br/>
              <w:t>Jordan Parker</w:t>
            </w:r>
          </w:p>
        </w:tc>
        <w:tc>
          <w:tcPr>
            <w:tcW w:w="2592" w:type="dxa"/>
            <w:shd w:val="clear" w:color="auto" w:fill="E6F3FF"/>
          </w:tcPr>
          <w:p w14:paraId="0CB497B6" w14:textId="77777777" w:rsidR="00490560" w:rsidRDefault="00000000">
            <w:pPr>
              <w:jc w:val="center"/>
              <w:cnfStyle w:val="000000010000" w:firstRow="0" w:lastRow="0" w:firstColumn="0" w:lastColumn="0" w:oddVBand="0" w:evenVBand="0" w:oddHBand="0" w:evenHBand="1" w:firstRowFirstColumn="0" w:firstRowLastColumn="0" w:lastRowFirstColumn="0" w:lastRowLastColumn="0"/>
            </w:pPr>
            <w:r>
              <w:t>Growth Employee</w:t>
            </w:r>
            <w:r>
              <w:br/>
            </w:r>
            <w:r>
              <w:br/>
              <w:t>Drew Collins</w:t>
            </w:r>
            <w:r>
              <w:br/>
              <w:t>Skyler Bennett</w:t>
            </w:r>
          </w:p>
        </w:tc>
        <w:tc>
          <w:tcPr>
            <w:tcW w:w="2592" w:type="dxa"/>
            <w:shd w:val="clear" w:color="auto" w:fill="FFE6CC"/>
          </w:tcPr>
          <w:p w14:paraId="072CE96D" w14:textId="77777777" w:rsidR="00490560" w:rsidRDefault="00000000">
            <w:pPr>
              <w:jc w:val="center"/>
              <w:cnfStyle w:val="000000010000" w:firstRow="0" w:lastRow="0" w:firstColumn="0" w:lastColumn="0" w:oddVBand="0" w:evenVBand="0" w:oddHBand="0" w:evenHBand="1" w:firstRowFirstColumn="0" w:firstRowLastColumn="0" w:lastRowFirstColumn="0" w:lastRowLastColumn="0"/>
            </w:pPr>
            <w:r>
              <w:t>Emerging Talent</w:t>
            </w:r>
            <w:r>
              <w:br/>
            </w:r>
            <w:r>
              <w:br/>
              <w:t>Samir Noor</w:t>
            </w:r>
          </w:p>
        </w:tc>
      </w:tr>
      <w:tr w:rsidR="00490560" w14:paraId="0772D5E7"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shd w:val="clear" w:color="auto" w:fill="2C3E50"/>
          </w:tcPr>
          <w:p w14:paraId="66DAADD2" w14:textId="77777777" w:rsidR="00490560" w:rsidRDefault="00000000">
            <w:pPr>
              <w:jc w:val="center"/>
            </w:pPr>
            <w:r>
              <w:rPr>
                <w:color w:val="FFFFFF"/>
              </w:rPr>
              <w:t>Lower</w:t>
            </w:r>
            <w:r>
              <w:rPr>
                <w:color w:val="FFFFFF"/>
              </w:rPr>
              <w:br/>
              <w:t>Performance</w:t>
            </w:r>
          </w:p>
        </w:tc>
        <w:tc>
          <w:tcPr>
            <w:tcW w:w="2592" w:type="dxa"/>
            <w:shd w:val="clear" w:color="auto" w:fill="FFE6E6"/>
          </w:tcPr>
          <w:p w14:paraId="6E4B3AEF" w14:textId="77777777" w:rsidR="00490560" w:rsidRDefault="00000000">
            <w:pPr>
              <w:jc w:val="center"/>
              <w:cnfStyle w:val="000000100000" w:firstRow="0" w:lastRow="0" w:firstColumn="0" w:lastColumn="0" w:oddVBand="0" w:evenVBand="0" w:oddHBand="1" w:evenHBand="0" w:firstRowFirstColumn="0" w:firstRowLastColumn="0" w:lastRowFirstColumn="0" w:lastRowLastColumn="0"/>
            </w:pPr>
            <w:r>
              <w:t>Performance Issue</w:t>
            </w:r>
            <w:r>
              <w:br/>
            </w:r>
            <w:r>
              <w:br/>
              <w:t>(None identified)</w:t>
            </w:r>
          </w:p>
        </w:tc>
        <w:tc>
          <w:tcPr>
            <w:tcW w:w="2592" w:type="dxa"/>
            <w:shd w:val="clear" w:color="auto" w:fill="FFF0E6"/>
          </w:tcPr>
          <w:p w14:paraId="5720E75F" w14:textId="77777777" w:rsidR="00490560" w:rsidRDefault="00000000">
            <w:pPr>
              <w:jc w:val="center"/>
              <w:cnfStyle w:val="000000100000" w:firstRow="0" w:lastRow="0" w:firstColumn="0" w:lastColumn="0" w:oddVBand="0" w:evenVBand="0" w:oddHBand="1" w:evenHBand="0" w:firstRowFirstColumn="0" w:firstRowLastColumn="0" w:lastRowFirstColumn="0" w:lastRowLastColumn="0"/>
            </w:pPr>
            <w:r>
              <w:t>Inconsistent Performer</w:t>
            </w:r>
            <w:r>
              <w:br/>
            </w:r>
            <w:r>
              <w:br/>
              <w:t>(None identified)</w:t>
            </w:r>
          </w:p>
        </w:tc>
        <w:tc>
          <w:tcPr>
            <w:tcW w:w="2592" w:type="dxa"/>
            <w:shd w:val="clear" w:color="auto" w:fill="FFFFCC"/>
          </w:tcPr>
          <w:p w14:paraId="24590DCA" w14:textId="77777777" w:rsidR="00490560" w:rsidRDefault="00000000">
            <w:pPr>
              <w:jc w:val="center"/>
              <w:cnfStyle w:val="000000100000" w:firstRow="0" w:lastRow="0" w:firstColumn="0" w:lastColumn="0" w:oddVBand="0" w:evenVBand="0" w:oddHBand="1" w:evenHBand="0" w:firstRowFirstColumn="0" w:firstRowLastColumn="0" w:lastRowFirstColumn="0" w:lastRowLastColumn="0"/>
            </w:pPr>
            <w:r>
              <w:t>Untested Potential</w:t>
            </w:r>
            <w:r>
              <w:br/>
            </w:r>
            <w:r>
              <w:br/>
              <w:t>(None identified)</w:t>
            </w:r>
          </w:p>
        </w:tc>
      </w:tr>
    </w:tbl>
    <w:p w14:paraId="5B84B863" w14:textId="77777777" w:rsidR="00490560" w:rsidRDefault="00000000">
      <w:r>
        <w:br w:type="page"/>
      </w:r>
    </w:p>
    <w:p w14:paraId="0DA29405" w14:textId="77777777" w:rsidR="00490560" w:rsidRDefault="00000000">
      <w:pPr>
        <w:pStyle w:val="Heading1"/>
      </w:pPr>
      <w:r>
        <w:t>EXECUTIVE SUCCESSION PLANS</w:t>
      </w:r>
    </w:p>
    <w:p w14:paraId="3115466E" w14:textId="77777777" w:rsidR="00490560" w:rsidRDefault="00000000">
      <w:pPr>
        <w:pStyle w:val="Heading2"/>
      </w:pPr>
      <w:r>
        <w:t>General Manager (Alex Morgan, E001)</w:t>
      </w:r>
    </w:p>
    <w:tbl>
      <w:tblPr>
        <w:tblStyle w:val="LightGrid-Accent1"/>
        <w:tblW w:w="0" w:type="auto"/>
        <w:tblLook w:val="04A0" w:firstRow="1" w:lastRow="0" w:firstColumn="1" w:lastColumn="0" w:noHBand="0" w:noVBand="1"/>
      </w:tblPr>
      <w:tblGrid>
        <w:gridCol w:w="2714"/>
        <w:gridCol w:w="5906"/>
      </w:tblGrid>
      <w:tr w:rsidR="00490560" w14:paraId="0FD23107" w14:textId="77777777" w:rsidTr="004905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183BAFCC" w14:textId="77777777" w:rsidR="00490560" w:rsidRDefault="00000000">
            <w:r>
              <w:t>Incumbent:</w:t>
            </w:r>
          </w:p>
        </w:tc>
        <w:tc>
          <w:tcPr>
            <w:tcW w:w="6480" w:type="dxa"/>
          </w:tcPr>
          <w:p w14:paraId="44D3E3AD" w14:textId="77777777" w:rsidR="00490560" w:rsidRDefault="00000000">
            <w:pPr>
              <w:cnfStyle w:val="100000000000" w:firstRow="1" w:lastRow="0" w:firstColumn="0" w:lastColumn="0" w:oddVBand="0" w:evenVBand="0" w:oddHBand="0" w:evenHBand="0" w:firstRowFirstColumn="0" w:firstRowLastColumn="0" w:lastRowFirstColumn="0" w:lastRowLastColumn="0"/>
            </w:pPr>
            <w:r>
              <w:t>Alex Morgan (E001) - Tenure: 6.5 years</w:t>
            </w:r>
          </w:p>
        </w:tc>
      </w:tr>
      <w:tr w:rsidR="00490560" w14:paraId="5028FDC5"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0DAF9078" w14:textId="77777777" w:rsidR="00490560" w:rsidRDefault="00000000">
            <w:r>
              <w:t>Criticality:</w:t>
            </w:r>
          </w:p>
        </w:tc>
        <w:tc>
          <w:tcPr>
            <w:tcW w:w="6480" w:type="dxa"/>
          </w:tcPr>
          <w:p w14:paraId="2346048B" w14:textId="77777777" w:rsidR="00490560" w:rsidRDefault="00000000">
            <w:pPr>
              <w:cnfStyle w:val="000000100000" w:firstRow="0" w:lastRow="0" w:firstColumn="0" w:lastColumn="0" w:oddVBand="0" w:evenVBand="0" w:oddHBand="1" w:evenHBand="0" w:firstRowFirstColumn="0" w:firstRowLastColumn="0" w:lastRowFirstColumn="0" w:lastRowLastColumn="0"/>
            </w:pPr>
            <w:r>
              <w:t>CRITICAL - Strategic leadership, board relations, P&amp;L responsibility</w:t>
            </w:r>
          </w:p>
        </w:tc>
      </w:tr>
      <w:tr w:rsidR="00490560" w14:paraId="15373455" w14:textId="77777777" w:rsidTr="004905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4F9C4E06" w14:textId="77777777" w:rsidR="00490560" w:rsidRDefault="00000000">
            <w:r>
              <w:t>Succession Risk:</w:t>
            </w:r>
          </w:p>
        </w:tc>
        <w:tc>
          <w:tcPr>
            <w:tcW w:w="6480" w:type="dxa"/>
            <w:shd w:val="clear" w:color="auto" w:fill="F8D7DA"/>
          </w:tcPr>
          <w:p w14:paraId="3A6A25C1" w14:textId="77777777" w:rsidR="00490560" w:rsidRDefault="00000000">
            <w:pPr>
              <w:cnfStyle w:val="000000010000" w:firstRow="0" w:lastRow="0" w:firstColumn="0" w:lastColumn="0" w:oddVBand="0" w:evenVBand="0" w:oddHBand="0" w:evenHBand="1" w:firstRowFirstColumn="0" w:firstRowLastColumn="0" w:lastRowFirstColumn="0" w:lastRowLastColumn="0"/>
            </w:pPr>
            <w:r>
              <w:t>HIGH</w:t>
            </w:r>
          </w:p>
        </w:tc>
      </w:tr>
      <w:tr w:rsidR="00490560" w14:paraId="2ADCF746"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01DF64D8" w14:textId="77777777" w:rsidR="00490560" w:rsidRDefault="00000000">
            <w:r>
              <w:t>Primary Successor:</w:t>
            </w:r>
          </w:p>
        </w:tc>
        <w:tc>
          <w:tcPr>
            <w:tcW w:w="6480" w:type="dxa"/>
          </w:tcPr>
          <w:p w14:paraId="722C5C47" w14:textId="77777777" w:rsidR="00490560" w:rsidRDefault="00000000">
            <w:pPr>
              <w:cnfStyle w:val="000000100000" w:firstRow="0" w:lastRow="0" w:firstColumn="0" w:lastColumn="0" w:oddVBand="0" w:evenVBand="0" w:oddHBand="1" w:evenHBand="0" w:firstRowFirstColumn="0" w:firstRowLastColumn="0" w:lastRowFirstColumn="0" w:lastRowLastColumn="0"/>
            </w:pPr>
            <w:r>
              <w:t>Jordan Lee (COO) - Readiness: 2-3 years</w:t>
            </w:r>
          </w:p>
        </w:tc>
      </w:tr>
    </w:tbl>
    <w:p w14:paraId="7A06FCFC" w14:textId="77777777" w:rsidR="00490560" w:rsidRDefault="00490560"/>
    <w:p w14:paraId="79245777" w14:textId="77777777" w:rsidR="00490560" w:rsidRDefault="00000000">
      <w:r>
        <w:rPr>
          <w:b/>
        </w:rPr>
        <w:t>Development Plan - Jordan Lee:</w:t>
      </w:r>
    </w:p>
    <w:p w14:paraId="023C5D41" w14:textId="77777777" w:rsidR="00490560" w:rsidRDefault="00000000">
      <w:pPr>
        <w:pStyle w:val="ListBullet"/>
      </w:pPr>
      <w:r>
        <w:t>Lead 2-3 strategic initiatives with board visibility</w:t>
      </w:r>
    </w:p>
    <w:p w14:paraId="60D2452D" w14:textId="77777777" w:rsidR="00490560" w:rsidRDefault="00000000">
      <w:pPr>
        <w:pStyle w:val="ListBullet"/>
      </w:pPr>
      <w:r>
        <w:t>Attend board meetings as observer, present quarterly</w:t>
      </w:r>
    </w:p>
    <w:p w14:paraId="7DB4C2E3" w14:textId="77777777" w:rsidR="00490560" w:rsidRDefault="00000000">
      <w:pPr>
        <w:pStyle w:val="ListBullet"/>
      </w:pPr>
      <w:r>
        <w:t>Complete executive leadership program (external, 6-month)</w:t>
      </w:r>
    </w:p>
    <w:p w14:paraId="1AA572C2" w14:textId="77777777" w:rsidR="00490560" w:rsidRDefault="00000000">
      <w:pPr>
        <w:pStyle w:val="ListBullet"/>
      </w:pPr>
      <w:r>
        <w:t>Shadow GM in FY2027 strategic planning cycle</w:t>
      </w:r>
    </w:p>
    <w:p w14:paraId="58302C5B" w14:textId="77777777" w:rsidR="00490560" w:rsidRDefault="00000000">
      <w:pPr>
        <w:pStyle w:val="Heading2"/>
      </w:pPr>
      <w:r>
        <w:t>Chief Operating Officer (Jordan Lee, E002)</w:t>
      </w:r>
    </w:p>
    <w:tbl>
      <w:tblPr>
        <w:tblStyle w:val="LightGrid-Accent1"/>
        <w:tblW w:w="0" w:type="auto"/>
        <w:tblLook w:val="04A0" w:firstRow="1" w:lastRow="0" w:firstColumn="1" w:lastColumn="0" w:noHBand="0" w:noVBand="1"/>
      </w:tblPr>
      <w:tblGrid>
        <w:gridCol w:w="4310"/>
        <w:gridCol w:w="4310"/>
      </w:tblGrid>
      <w:tr w:rsidR="00490560" w14:paraId="0C61C1A3" w14:textId="77777777" w:rsidTr="004905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4B227B85" w14:textId="77777777" w:rsidR="00490560" w:rsidRDefault="00000000">
            <w:r>
              <w:t>Incumbent:</w:t>
            </w:r>
          </w:p>
        </w:tc>
        <w:tc>
          <w:tcPr>
            <w:tcW w:w="4320" w:type="dxa"/>
          </w:tcPr>
          <w:p w14:paraId="04E97CB4" w14:textId="77777777" w:rsidR="00490560" w:rsidRDefault="00000000">
            <w:pPr>
              <w:cnfStyle w:val="100000000000" w:firstRow="1" w:lastRow="0" w:firstColumn="0" w:lastColumn="0" w:oddVBand="0" w:evenVBand="0" w:oddHBand="0" w:evenHBand="0" w:firstRowFirstColumn="0" w:firstRowLastColumn="0" w:lastRowFirstColumn="0" w:lastRowLastColumn="0"/>
            </w:pPr>
            <w:r>
              <w:t>Jordan Lee (E002) - Tenure: 5.9 years</w:t>
            </w:r>
          </w:p>
        </w:tc>
      </w:tr>
      <w:tr w:rsidR="00490560" w14:paraId="355DEFA9"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1D4E3F31" w14:textId="77777777" w:rsidR="00490560" w:rsidRDefault="00000000">
            <w:r>
              <w:t>Criticality:</w:t>
            </w:r>
          </w:p>
        </w:tc>
        <w:tc>
          <w:tcPr>
            <w:tcW w:w="4320" w:type="dxa"/>
          </w:tcPr>
          <w:p w14:paraId="5DDAFE62" w14:textId="77777777" w:rsidR="00490560" w:rsidRDefault="00000000">
            <w:pPr>
              <w:cnfStyle w:val="000000100000" w:firstRow="0" w:lastRow="0" w:firstColumn="0" w:lastColumn="0" w:oddVBand="0" w:evenVBand="0" w:oddHBand="1" w:evenHBand="0" w:firstRowFirstColumn="0" w:firstRowLastColumn="0" w:lastRowFirstColumn="0" w:lastRowLastColumn="0"/>
            </w:pPr>
            <w:r>
              <w:t>CRITICAL - Oversees 3 departments, logistics, customer service</w:t>
            </w:r>
          </w:p>
        </w:tc>
      </w:tr>
      <w:tr w:rsidR="00490560" w14:paraId="7B644811" w14:textId="77777777" w:rsidTr="004905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6FBFFC1C" w14:textId="77777777" w:rsidR="00490560" w:rsidRDefault="00000000">
            <w:r>
              <w:t>Succession Risk:</w:t>
            </w:r>
          </w:p>
        </w:tc>
        <w:tc>
          <w:tcPr>
            <w:tcW w:w="4320" w:type="dxa"/>
            <w:shd w:val="clear" w:color="auto" w:fill="FFF3CD"/>
          </w:tcPr>
          <w:p w14:paraId="3337B695" w14:textId="77777777" w:rsidR="00490560" w:rsidRDefault="00000000">
            <w:pPr>
              <w:cnfStyle w:val="000000010000" w:firstRow="0" w:lastRow="0" w:firstColumn="0" w:lastColumn="0" w:oddVBand="0" w:evenVBand="0" w:oddHBand="0" w:evenHBand="1" w:firstRowFirstColumn="0" w:firstRowLastColumn="0" w:lastRowFirstColumn="0" w:lastRowLastColumn="0"/>
            </w:pPr>
            <w:r>
              <w:t>MEDIUM</w:t>
            </w:r>
          </w:p>
        </w:tc>
      </w:tr>
      <w:tr w:rsidR="00490560" w14:paraId="2C69ECA5"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12DC17D" w14:textId="77777777" w:rsidR="00490560" w:rsidRDefault="00000000">
            <w:r>
              <w:t>Primary Successor:</w:t>
            </w:r>
          </w:p>
        </w:tc>
        <w:tc>
          <w:tcPr>
            <w:tcW w:w="4320" w:type="dxa"/>
          </w:tcPr>
          <w:p w14:paraId="6364C86D" w14:textId="77777777" w:rsidR="00490560" w:rsidRDefault="00000000">
            <w:pPr>
              <w:cnfStyle w:val="000000100000" w:firstRow="0" w:lastRow="0" w:firstColumn="0" w:lastColumn="0" w:oddVBand="0" w:evenVBand="0" w:oddHBand="1" w:evenHBand="0" w:firstRowFirstColumn="0" w:firstRowLastColumn="0" w:lastRowFirstColumn="0" w:lastRowLastColumn="0"/>
            </w:pPr>
            <w:r>
              <w:t>Quinn Taylor (Warehouse &amp; Logistics Mgr) - Readiness: 2-3 years</w:t>
            </w:r>
          </w:p>
        </w:tc>
      </w:tr>
    </w:tbl>
    <w:p w14:paraId="76A830C2" w14:textId="77777777" w:rsidR="00490560" w:rsidRDefault="00490560"/>
    <w:p w14:paraId="2D6372DF" w14:textId="77777777" w:rsidR="00490560" w:rsidRDefault="00000000">
      <w:r>
        <w:rPr>
          <w:b/>
        </w:rPr>
        <w:t>Development Plan - Quinn Taylor:</w:t>
      </w:r>
    </w:p>
    <w:p w14:paraId="5B3A9A2B" w14:textId="77777777" w:rsidR="00490560" w:rsidRDefault="00000000">
      <w:pPr>
        <w:pStyle w:val="ListBullet"/>
      </w:pPr>
      <w:r>
        <w:t>Lead customer service improvement initiative</w:t>
      </w:r>
    </w:p>
    <w:p w14:paraId="7239568F" w14:textId="77777777" w:rsidR="00490560" w:rsidRDefault="00000000">
      <w:pPr>
        <w:pStyle w:val="ListBullet"/>
      </w:pPr>
      <w:r>
        <w:t>Expand oversight to include supply chain (6-month rotation)</w:t>
      </w:r>
    </w:p>
    <w:p w14:paraId="1CBA9E38" w14:textId="77777777" w:rsidR="00490560" w:rsidRDefault="00000000">
      <w:pPr>
        <w:pStyle w:val="ListBullet"/>
      </w:pPr>
      <w:r>
        <w:t>Financial management training: P&amp;L, budgeting, forecasting</w:t>
      </w:r>
    </w:p>
    <w:p w14:paraId="3E547DF8" w14:textId="77777777" w:rsidR="00490560" w:rsidRDefault="00000000">
      <w:pPr>
        <w:pStyle w:val="ListBullet"/>
      </w:pPr>
      <w:r>
        <w:t>Monthly mentorship with current COO</w:t>
      </w:r>
    </w:p>
    <w:p w14:paraId="4A7172B4" w14:textId="77777777" w:rsidR="00490560" w:rsidRDefault="00000000">
      <w:pPr>
        <w:pStyle w:val="Heading2"/>
      </w:pPr>
      <w:r>
        <w:t>Chief Financial Officer (Taylor Singh, E003)</w:t>
      </w:r>
    </w:p>
    <w:tbl>
      <w:tblPr>
        <w:tblStyle w:val="LightGrid-Accent1"/>
        <w:tblW w:w="0" w:type="auto"/>
        <w:tblLook w:val="04A0" w:firstRow="1" w:lastRow="0" w:firstColumn="1" w:lastColumn="0" w:noHBand="0" w:noVBand="1"/>
      </w:tblPr>
      <w:tblGrid>
        <w:gridCol w:w="4310"/>
        <w:gridCol w:w="4310"/>
      </w:tblGrid>
      <w:tr w:rsidR="00490560" w14:paraId="62703407" w14:textId="77777777" w:rsidTr="004905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D4A3489" w14:textId="77777777" w:rsidR="00490560" w:rsidRDefault="00000000">
            <w:r>
              <w:t>Incumbent:</w:t>
            </w:r>
          </w:p>
        </w:tc>
        <w:tc>
          <w:tcPr>
            <w:tcW w:w="4320" w:type="dxa"/>
          </w:tcPr>
          <w:p w14:paraId="22CE611C" w14:textId="77777777" w:rsidR="00490560" w:rsidRDefault="00000000">
            <w:pPr>
              <w:cnfStyle w:val="100000000000" w:firstRow="1" w:lastRow="0" w:firstColumn="0" w:lastColumn="0" w:oddVBand="0" w:evenVBand="0" w:oddHBand="0" w:evenHBand="0" w:firstRowFirstColumn="0" w:firstRowLastColumn="0" w:lastRowFirstColumn="0" w:lastRowLastColumn="0"/>
            </w:pPr>
            <w:r>
              <w:t>Taylor Singh (E003) - Tenure: 5.0 years</w:t>
            </w:r>
          </w:p>
        </w:tc>
      </w:tr>
      <w:tr w:rsidR="00490560" w14:paraId="316A47E3"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588EDFA" w14:textId="77777777" w:rsidR="00490560" w:rsidRDefault="00000000">
            <w:r>
              <w:t>Criticality:</w:t>
            </w:r>
          </w:p>
        </w:tc>
        <w:tc>
          <w:tcPr>
            <w:tcW w:w="4320" w:type="dxa"/>
          </w:tcPr>
          <w:p w14:paraId="711E45D7" w14:textId="77777777" w:rsidR="00490560" w:rsidRDefault="00000000">
            <w:pPr>
              <w:cnfStyle w:val="000000100000" w:firstRow="0" w:lastRow="0" w:firstColumn="0" w:lastColumn="0" w:oddVBand="0" w:evenVBand="0" w:oddHBand="1" w:evenHBand="0" w:firstRowFirstColumn="0" w:firstRowLastColumn="0" w:lastRowFirstColumn="0" w:lastRowLastColumn="0"/>
            </w:pPr>
            <w:r>
              <w:t>CRITICAL - Financial strategy, compliance, board reporting</w:t>
            </w:r>
          </w:p>
        </w:tc>
      </w:tr>
      <w:tr w:rsidR="00490560" w14:paraId="37F96E4B" w14:textId="77777777" w:rsidTr="004905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5548FD4" w14:textId="77777777" w:rsidR="00490560" w:rsidRDefault="00000000">
            <w:r>
              <w:t>Succession Risk:</w:t>
            </w:r>
          </w:p>
        </w:tc>
        <w:tc>
          <w:tcPr>
            <w:tcW w:w="4320" w:type="dxa"/>
            <w:shd w:val="clear" w:color="auto" w:fill="D4EDDA"/>
          </w:tcPr>
          <w:p w14:paraId="281E92FB" w14:textId="77777777" w:rsidR="00490560" w:rsidRDefault="00000000">
            <w:pPr>
              <w:cnfStyle w:val="000000010000" w:firstRow="0" w:lastRow="0" w:firstColumn="0" w:lastColumn="0" w:oddVBand="0" w:evenVBand="0" w:oddHBand="0" w:evenHBand="1" w:firstRowFirstColumn="0" w:firstRowLastColumn="0" w:lastRowFirstColumn="0" w:lastRowLastColumn="0"/>
            </w:pPr>
            <w:r>
              <w:t>LOW</w:t>
            </w:r>
          </w:p>
        </w:tc>
      </w:tr>
      <w:tr w:rsidR="00490560" w14:paraId="42451E1A"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708F52E" w14:textId="77777777" w:rsidR="00490560" w:rsidRDefault="00000000">
            <w:r>
              <w:t>Primary Successor:</w:t>
            </w:r>
          </w:p>
        </w:tc>
        <w:tc>
          <w:tcPr>
            <w:tcW w:w="4320" w:type="dxa"/>
          </w:tcPr>
          <w:p w14:paraId="2DB2DFEC" w14:textId="77777777" w:rsidR="00490560" w:rsidRDefault="00000000">
            <w:pPr>
              <w:cnfStyle w:val="000000100000" w:firstRow="0" w:lastRow="0" w:firstColumn="0" w:lastColumn="0" w:oddVBand="0" w:evenVBand="0" w:oddHBand="1" w:evenHBand="0" w:firstRowFirstColumn="0" w:firstRowLastColumn="0" w:lastRowFirstColumn="0" w:lastRowLastColumn="0"/>
            </w:pPr>
            <w:r>
              <w:t>Casey Brown (Finance Controller) - Readiness: 1-2 years</w:t>
            </w:r>
          </w:p>
        </w:tc>
      </w:tr>
    </w:tbl>
    <w:p w14:paraId="70A09C37" w14:textId="77777777" w:rsidR="00490560" w:rsidRDefault="00490560"/>
    <w:p w14:paraId="5C95E2D7" w14:textId="77777777" w:rsidR="00490560" w:rsidRDefault="00000000">
      <w:r>
        <w:rPr>
          <w:b/>
        </w:rPr>
        <w:t>Development Plan - Casey Brown:</w:t>
      </w:r>
    </w:p>
    <w:p w14:paraId="7D2C2B7E" w14:textId="77777777" w:rsidR="00490560" w:rsidRDefault="00000000">
      <w:pPr>
        <w:pStyle w:val="ListBullet"/>
      </w:pPr>
      <w:r>
        <w:t>Expand role to include treasury and cash management</w:t>
      </w:r>
    </w:p>
    <w:p w14:paraId="228D755D" w14:textId="77777777" w:rsidR="00490560" w:rsidRDefault="00000000">
      <w:pPr>
        <w:pStyle w:val="ListBullet"/>
      </w:pPr>
      <w:r>
        <w:t>Lead quarterly board financial presentations</w:t>
      </w:r>
    </w:p>
    <w:p w14:paraId="27DC3C8A" w14:textId="77777777" w:rsidR="00490560" w:rsidRDefault="00000000">
      <w:pPr>
        <w:pStyle w:val="ListBullet"/>
      </w:pPr>
      <w:r>
        <w:t>Complete CFO certification program (12-month external program)</w:t>
      </w:r>
    </w:p>
    <w:p w14:paraId="470B461C" w14:textId="77777777" w:rsidR="00490560" w:rsidRDefault="00000000">
      <w:pPr>
        <w:pStyle w:val="ListBullet"/>
      </w:pPr>
      <w:r>
        <w:t>Shadow CFO in strategic M&amp;A analysis</w:t>
      </w:r>
    </w:p>
    <w:p w14:paraId="168D810F" w14:textId="77777777" w:rsidR="00490560" w:rsidRDefault="00000000">
      <w:r>
        <w:br w:type="page"/>
      </w:r>
    </w:p>
    <w:p w14:paraId="4D9CCA9B" w14:textId="77777777" w:rsidR="00490560" w:rsidRDefault="00000000">
      <w:pPr>
        <w:pStyle w:val="Heading1"/>
      </w:pPr>
      <w:r>
        <w:t>HIGH-POTENTIAL EMPLOYEE PROFILES</w:t>
      </w:r>
    </w:p>
    <w:p w14:paraId="131571F4" w14:textId="77777777" w:rsidR="00490560" w:rsidRDefault="00000000">
      <w:r>
        <w:t>The following employees have been identified as high-potential based on performance, leadership capacity, and strategic value to the organization.</w:t>
      </w:r>
    </w:p>
    <w:p w14:paraId="38C168B8" w14:textId="77777777" w:rsidR="00490560" w:rsidRDefault="00000000">
      <w:pPr>
        <w:pStyle w:val="Heading2"/>
      </w:pPr>
      <w:r>
        <w:t>Jamie Patel - E-commerce Manager (E014)</w:t>
      </w:r>
    </w:p>
    <w:tbl>
      <w:tblPr>
        <w:tblStyle w:val="LightGrid-Accent1"/>
        <w:tblW w:w="0" w:type="auto"/>
        <w:tblLook w:val="04A0" w:firstRow="1" w:lastRow="0" w:firstColumn="1" w:lastColumn="0" w:noHBand="0" w:noVBand="1"/>
      </w:tblPr>
      <w:tblGrid>
        <w:gridCol w:w="4310"/>
        <w:gridCol w:w="4310"/>
      </w:tblGrid>
      <w:tr w:rsidR="00490560" w14:paraId="6A86AEFC" w14:textId="77777777" w:rsidTr="004905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0" w:type="dxa"/>
            <w:gridSpan w:val="2"/>
            <w:shd w:val="clear" w:color="auto" w:fill="FFD700"/>
          </w:tcPr>
          <w:p w14:paraId="6EDB34D5" w14:textId="77777777" w:rsidR="00490560" w:rsidRDefault="00000000">
            <w:pPr>
              <w:jc w:val="center"/>
            </w:pPr>
            <w:r>
              <w:t>FUTURE LEADER - HIGH POTENTIAL</w:t>
            </w:r>
          </w:p>
        </w:tc>
      </w:tr>
      <w:tr w:rsidR="00490560" w14:paraId="361E694F"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4BF3F10F" w14:textId="77777777" w:rsidR="00490560" w:rsidRDefault="00000000">
            <w:r>
              <w:t>Performance Rating:</w:t>
            </w:r>
          </w:p>
        </w:tc>
        <w:tc>
          <w:tcPr>
            <w:tcW w:w="4320" w:type="dxa"/>
          </w:tcPr>
          <w:p w14:paraId="68739B6C" w14:textId="77777777" w:rsidR="00490560" w:rsidRDefault="00000000">
            <w:pPr>
              <w:cnfStyle w:val="000000100000" w:firstRow="0" w:lastRow="0" w:firstColumn="0" w:lastColumn="0" w:oddVBand="0" w:evenVBand="0" w:oddHBand="1" w:evenHBand="0" w:firstRowFirstColumn="0" w:firstRowLastColumn="0" w:lastRowFirstColumn="0" w:lastRowLastColumn="0"/>
            </w:pPr>
            <w:r>
              <w:t>4.4/5.0 - Exceeds Expectations</w:t>
            </w:r>
          </w:p>
        </w:tc>
      </w:tr>
      <w:tr w:rsidR="00490560" w14:paraId="0BCCDA9C" w14:textId="77777777" w:rsidTr="004905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47BAC4D4" w14:textId="77777777" w:rsidR="00490560" w:rsidRDefault="00000000">
            <w:r>
              <w:t>Target Role:</w:t>
            </w:r>
          </w:p>
        </w:tc>
        <w:tc>
          <w:tcPr>
            <w:tcW w:w="4320" w:type="dxa"/>
          </w:tcPr>
          <w:p w14:paraId="631DDDA4" w14:textId="77777777" w:rsidR="00490560" w:rsidRDefault="00000000">
            <w:pPr>
              <w:cnfStyle w:val="000000010000" w:firstRow="0" w:lastRow="0" w:firstColumn="0" w:lastColumn="0" w:oddVBand="0" w:evenVBand="0" w:oddHBand="0" w:evenHBand="1" w:firstRowFirstColumn="0" w:firstRowLastColumn="0" w:lastRowFirstColumn="0" w:lastRowLastColumn="0"/>
            </w:pPr>
            <w:r>
              <w:t>Sales Director (2-3 years)</w:t>
            </w:r>
          </w:p>
        </w:tc>
      </w:tr>
      <w:tr w:rsidR="00490560" w14:paraId="16DCB5A1"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4CEB5A14" w14:textId="77777777" w:rsidR="00490560" w:rsidRDefault="00000000">
            <w:r>
              <w:t>Key Strengths:</w:t>
            </w:r>
          </w:p>
        </w:tc>
        <w:tc>
          <w:tcPr>
            <w:tcW w:w="4320" w:type="dxa"/>
          </w:tcPr>
          <w:p w14:paraId="7BEB8F13" w14:textId="77777777" w:rsidR="00490560" w:rsidRDefault="00000000">
            <w:pPr>
              <w:cnfStyle w:val="000000100000" w:firstRow="0" w:lastRow="0" w:firstColumn="0" w:lastColumn="0" w:oddVBand="0" w:evenVBand="0" w:oddHBand="1" w:evenHBand="0" w:firstRowFirstColumn="0" w:firstRowLastColumn="0" w:lastRowFirstColumn="0" w:lastRowLastColumn="0"/>
            </w:pPr>
            <w:r>
              <w:t>Digital commerce expertise, customer analytics, technical proficiency, project management</w:t>
            </w:r>
          </w:p>
        </w:tc>
      </w:tr>
    </w:tbl>
    <w:p w14:paraId="2C30A05B" w14:textId="77777777" w:rsidR="00490560" w:rsidRDefault="00490560"/>
    <w:p w14:paraId="608485BE" w14:textId="77777777" w:rsidR="00490560" w:rsidRDefault="00000000">
      <w:r>
        <w:rPr>
          <w:b/>
        </w:rPr>
        <w:t>Development Focus:</w:t>
      </w:r>
    </w:p>
    <w:p w14:paraId="570BBD30" w14:textId="77777777" w:rsidR="00490560" w:rsidRDefault="00000000">
      <w:pPr>
        <w:pStyle w:val="ListBullet"/>
      </w:pPr>
      <w:r>
        <w:t>B2B experience, broader commercial strategy, people leadership</w:t>
      </w:r>
    </w:p>
    <w:p w14:paraId="7865BB3E" w14:textId="77777777" w:rsidR="00490560" w:rsidRDefault="00000000">
      <w:pPr>
        <w:pStyle w:val="Heading2"/>
      </w:pPr>
      <w:r>
        <w:t>Rowan Mitchell - Marketing Manager (E011)</w:t>
      </w:r>
    </w:p>
    <w:tbl>
      <w:tblPr>
        <w:tblStyle w:val="LightGrid-Accent1"/>
        <w:tblW w:w="0" w:type="auto"/>
        <w:tblLook w:val="04A0" w:firstRow="1" w:lastRow="0" w:firstColumn="1" w:lastColumn="0" w:noHBand="0" w:noVBand="1"/>
      </w:tblPr>
      <w:tblGrid>
        <w:gridCol w:w="4310"/>
        <w:gridCol w:w="4310"/>
      </w:tblGrid>
      <w:tr w:rsidR="00490560" w14:paraId="6754FB86" w14:textId="77777777" w:rsidTr="004905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0" w:type="dxa"/>
            <w:gridSpan w:val="2"/>
            <w:shd w:val="clear" w:color="auto" w:fill="FFD700"/>
          </w:tcPr>
          <w:p w14:paraId="71CD2D6F" w14:textId="77777777" w:rsidR="00490560" w:rsidRDefault="00000000">
            <w:pPr>
              <w:jc w:val="center"/>
            </w:pPr>
            <w:r>
              <w:t>FUTURE LEADER - HIGH POTENTIAL</w:t>
            </w:r>
          </w:p>
        </w:tc>
      </w:tr>
      <w:tr w:rsidR="00490560" w14:paraId="51E30720"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42423BCA" w14:textId="77777777" w:rsidR="00490560" w:rsidRDefault="00000000">
            <w:r>
              <w:t>Performance Rating:</w:t>
            </w:r>
          </w:p>
        </w:tc>
        <w:tc>
          <w:tcPr>
            <w:tcW w:w="4320" w:type="dxa"/>
          </w:tcPr>
          <w:p w14:paraId="01FC94BF" w14:textId="77777777" w:rsidR="00490560" w:rsidRDefault="00000000">
            <w:pPr>
              <w:cnfStyle w:val="000000100000" w:firstRow="0" w:lastRow="0" w:firstColumn="0" w:lastColumn="0" w:oddVBand="0" w:evenVBand="0" w:oddHBand="1" w:evenHBand="0" w:firstRowFirstColumn="0" w:firstRowLastColumn="0" w:lastRowFirstColumn="0" w:lastRowLastColumn="0"/>
            </w:pPr>
            <w:r>
              <w:t>4.3/5.0 - Exceeds Expectations</w:t>
            </w:r>
          </w:p>
        </w:tc>
      </w:tr>
      <w:tr w:rsidR="00490560" w14:paraId="5C7903A2" w14:textId="77777777" w:rsidTr="004905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0D95491F" w14:textId="77777777" w:rsidR="00490560" w:rsidRDefault="00000000">
            <w:r>
              <w:t>Target Role:</w:t>
            </w:r>
          </w:p>
        </w:tc>
        <w:tc>
          <w:tcPr>
            <w:tcW w:w="4320" w:type="dxa"/>
          </w:tcPr>
          <w:p w14:paraId="3322E35C" w14:textId="77777777" w:rsidR="00490560" w:rsidRDefault="00000000">
            <w:pPr>
              <w:cnfStyle w:val="000000010000" w:firstRow="0" w:lastRow="0" w:firstColumn="0" w:lastColumn="0" w:oddVBand="0" w:evenVBand="0" w:oddHBand="0" w:evenHBand="1" w:firstRowFirstColumn="0" w:firstRowLastColumn="0" w:lastRowFirstColumn="0" w:lastRowLastColumn="0"/>
            </w:pPr>
            <w:r>
              <w:t>Sales Director (2-3 years)</w:t>
            </w:r>
          </w:p>
        </w:tc>
      </w:tr>
      <w:tr w:rsidR="00490560" w14:paraId="264179AD"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298D3512" w14:textId="77777777" w:rsidR="00490560" w:rsidRDefault="00000000">
            <w:r>
              <w:t>Key Strengths:</w:t>
            </w:r>
          </w:p>
        </w:tc>
        <w:tc>
          <w:tcPr>
            <w:tcW w:w="4320" w:type="dxa"/>
          </w:tcPr>
          <w:p w14:paraId="2939B780" w14:textId="77777777" w:rsidR="00490560" w:rsidRDefault="00000000">
            <w:pPr>
              <w:cnfStyle w:val="000000100000" w:firstRow="0" w:lastRow="0" w:firstColumn="0" w:lastColumn="0" w:oddVBand="0" w:evenVBand="0" w:oddHBand="1" w:evenHBand="0" w:firstRowFirstColumn="0" w:firstRowLastColumn="0" w:lastRowFirstColumn="0" w:lastRowLastColumn="0"/>
            </w:pPr>
            <w:r>
              <w:t>Strategic marketing thinking, digital expertise, creative problem-solving, cross-functional collaboration</w:t>
            </w:r>
          </w:p>
        </w:tc>
      </w:tr>
    </w:tbl>
    <w:p w14:paraId="38E5A2F6" w14:textId="77777777" w:rsidR="00490560" w:rsidRDefault="00490560"/>
    <w:p w14:paraId="5CA98B49" w14:textId="77777777" w:rsidR="00490560" w:rsidRDefault="00000000">
      <w:r>
        <w:rPr>
          <w:b/>
        </w:rPr>
        <w:t>Development Focus:</w:t>
      </w:r>
    </w:p>
    <w:p w14:paraId="6F515A24" w14:textId="77777777" w:rsidR="00490560" w:rsidRDefault="00000000">
      <w:pPr>
        <w:pStyle w:val="ListBullet"/>
      </w:pPr>
      <w:r>
        <w:t>Sales leadership, B2B channel dynamics, commercial negotiations</w:t>
      </w:r>
    </w:p>
    <w:p w14:paraId="1EFC0321" w14:textId="77777777" w:rsidR="00490560" w:rsidRDefault="00000000">
      <w:pPr>
        <w:pStyle w:val="Heading2"/>
      </w:pPr>
      <w:r>
        <w:t>Morgan Davis - Channel/Reseller Manager (E007)</w:t>
      </w:r>
    </w:p>
    <w:tbl>
      <w:tblPr>
        <w:tblStyle w:val="LightGrid-Accent1"/>
        <w:tblW w:w="0" w:type="auto"/>
        <w:tblLook w:val="04A0" w:firstRow="1" w:lastRow="0" w:firstColumn="1" w:lastColumn="0" w:noHBand="0" w:noVBand="1"/>
      </w:tblPr>
      <w:tblGrid>
        <w:gridCol w:w="4310"/>
        <w:gridCol w:w="4310"/>
      </w:tblGrid>
      <w:tr w:rsidR="00490560" w14:paraId="2DB3778F" w14:textId="77777777" w:rsidTr="004905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0" w:type="dxa"/>
            <w:gridSpan w:val="2"/>
            <w:shd w:val="clear" w:color="auto" w:fill="A8D8EA"/>
          </w:tcPr>
          <w:p w14:paraId="4510B9C4" w14:textId="77777777" w:rsidR="00490560" w:rsidRDefault="00000000">
            <w:pPr>
              <w:jc w:val="center"/>
            </w:pPr>
            <w:r>
              <w:t>KEY PLAYER</w:t>
            </w:r>
          </w:p>
        </w:tc>
      </w:tr>
      <w:tr w:rsidR="00490560" w14:paraId="4293C391"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58FE7D3E" w14:textId="77777777" w:rsidR="00490560" w:rsidRDefault="00000000">
            <w:r>
              <w:t>Performance Rating:</w:t>
            </w:r>
          </w:p>
        </w:tc>
        <w:tc>
          <w:tcPr>
            <w:tcW w:w="4320" w:type="dxa"/>
          </w:tcPr>
          <w:p w14:paraId="36179AA0" w14:textId="77777777" w:rsidR="00490560" w:rsidRDefault="00000000">
            <w:pPr>
              <w:cnfStyle w:val="000000100000" w:firstRow="0" w:lastRow="0" w:firstColumn="0" w:lastColumn="0" w:oddVBand="0" w:evenVBand="0" w:oddHBand="1" w:evenHBand="0" w:firstRowFirstColumn="0" w:firstRowLastColumn="0" w:lastRowFirstColumn="0" w:lastRowLastColumn="0"/>
            </w:pPr>
            <w:r>
              <w:t>4.5/5.0 - Exceeds Expectations</w:t>
            </w:r>
          </w:p>
        </w:tc>
      </w:tr>
      <w:tr w:rsidR="00490560" w14:paraId="6AC40AEF" w14:textId="77777777" w:rsidTr="004905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39C26A8B" w14:textId="77777777" w:rsidR="00490560" w:rsidRDefault="00000000">
            <w:r>
              <w:t>Target Role:</w:t>
            </w:r>
          </w:p>
        </w:tc>
        <w:tc>
          <w:tcPr>
            <w:tcW w:w="4320" w:type="dxa"/>
          </w:tcPr>
          <w:p w14:paraId="727E1A4E" w14:textId="77777777" w:rsidR="00490560" w:rsidRDefault="00000000">
            <w:pPr>
              <w:cnfStyle w:val="000000010000" w:firstRow="0" w:lastRow="0" w:firstColumn="0" w:lastColumn="0" w:oddVBand="0" w:evenVBand="0" w:oddHBand="0" w:evenHBand="1" w:firstRowFirstColumn="0" w:firstRowLastColumn="0" w:lastRowFirstColumn="0" w:lastRowLastColumn="0"/>
            </w:pPr>
            <w:r>
              <w:t>Sales Director (ready now to 1 year)</w:t>
            </w:r>
          </w:p>
        </w:tc>
      </w:tr>
      <w:tr w:rsidR="00490560" w14:paraId="07D50894"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14:paraId="7DE4628A" w14:textId="77777777" w:rsidR="00490560" w:rsidRDefault="00000000">
            <w:r>
              <w:t>Key Strengths:</w:t>
            </w:r>
          </w:p>
        </w:tc>
        <w:tc>
          <w:tcPr>
            <w:tcW w:w="4320" w:type="dxa"/>
          </w:tcPr>
          <w:p w14:paraId="3DA541AB" w14:textId="77777777" w:rsidR="00490560" w:rsidRDefault="00000000">
            <w:pPr>
              <w:cnfStyle w:val="000000100000" w:firstRow="0" w:lastRow="0" w:firstColumn="0" w:lastColumn="0" w:oddVBand="0" w:evenVBand="0" w:oddHBand="1" w:evenHBand="0" w:firstRowFirstColumn="0" w:firstRowLastColumn="0" w:lastRowFirstColumn="0" w:lastRowLastColumn="0"/>
            </w:pPr>
            <w:r>
              <w:t>Relationship management (701 resellers), strategic thinking, B2B expertise, manages $80.5M revenue</w:t>
            </w:r>
          </w:p>
        </w:tc>
      </w:tr>
    </w:tbl>
    <w:p w14:paraId="12B6C5DF" w14:textId="77777777" w:rsidR="00490560" w:rsidRDefault="00490560"/>
    <w:p w14:paraId="08D1C705" w14:textId="77777777" w:rsidR="00490560" w:rsidRDefault="00000000">
      <w:r>
        <w:rPr>
          <w:b/>
        </w:rPr>
        <w:t>Development Focus:</w:t>
      </w:r>
    </w:p>
    <w:p w14:paraId="72CCB779" w14:textId="77777777" w:rsidR="00490560" w:rsidRDefault="00000000">
      <w:pPr>
        <w:pStyle w:val="ListBullet"/>
      </w:pPr>
      <w:r>
        <w:t>Financial acumen, direct-to-consumer experience, cross-functional leadership</w:t>
      </w:r>
    </w:p>
    <w:p w14:paraId="32A780B0" w14:textId="77777777" w:rsidR="00490560" w:rsidRDefault="00000000">
      <w:r>
        <w:br w:type="page"/>
      </w:r>
    </w:p>
    <w:p w14:paraId="5F00B0C9" w14:textId="77777777" w:rsidR="00490560" w:rsidRDefault="00000000">
      <w:pPr>
        <w:pStyle w:val="Heading1"/>
      </w:pPr>
      <w:r>
        <w:t>IMPLEMENTATION TIMELINE</w:t>
      </w:r>
    </w:p>
    <w:tbl>
      <w:tblPr>
        <w:tblStyle w:val="LightGrid-Accent1"/>
        <w:tblW w:w="0" w:type="auto"/>
        <w:tblLook w:val="04A0" w:firstRow="1" w:lastRow="0" w:firstColumn="1" w:lastColumn="0" w:noHBand="0" w:noVBand="1"/>
      </w:tblPr>
      <w:tblGrid>
        <w:gridCol w:w="2872"/>
        <w:gridCol w:w="2875"/>
        <w:gridCol w:w="2873"/>
      </w:tblGrid>
      <w:tr w:rsidR="00490560" w14:paraId="23A616E3" w14:textId="77777777" w:rsidTr="004905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2C3E50"/>
          </w:tcPr>
          <w:p w14:paraId="388AE87C" w14:textId="77777777" w:rsidR="00490560" w:rsidRDefault="00000000">
            <w:r>
              <w:rPr>
                <w:color w:val="FFFFFF"/>
              </w:rPr>
              <w:t>Timeline</w:t>
            </w:r>
          </w:p>
        </w:tc>
        <w:tc>
          <w:tcPr>
            <w:tcW w:w="2880" w:type="dxa"/>
            <w:shd w:val="clear" w:color="auto" w:fill="2C3E50"/>
          </w:tcPr>
          <w:p w14:paraId="4405B23E" w14:textId="77777777" w:rsidR="00490560" w:rsidRDefault="00000000">
            <w:pPr>
              <w:cnfStyle w:val="100000000000" w:firstRow="1" w:lastRow="0" w:firstColumn="0" w:lastColumn="0" w:oddVBand="0" w:evenVBand="0" w:oddHBand="0" w:evenHBand="0" w:firstRowFirstColumn="0" w:firstRowLastColumn="0" w:lastRowFirstColumn="0" w:lastRowLastColumn="0"/>
            </w:pPr>
            <w:r>
              <w:rPr>
                <w:color w:val="FFFFFF"/>
              </w:rPr>
              <w:t>Priority Actions</w:t>
            </w:r>
          </w:p>
        </w:tc>
        <w:tc>
          <w:tcPr>
            <w:tcW w:w="2880" w:type="dxa"/>
            <w:shd w:val="clear" w:color="auto" w:fill="2C3E50"/>
          </w:tcPr>
          <w:p w14:paraId="2993BC28" w14:textId="77777777" w:rsidR="00490560" w:rsidRDefault="00000000">
            <w:pPr>
              <w:cnfStyle w:val="100000000000" w:firstRow="1" w:lastRow="0" w:firstColumn="0" w:lastColumn="0" w:oddVBand="0" w:evenVBand="0" w:oddHBand="0" w:evenHBand="0" w:firstRowFirstColumn="0" w:firstRowLastColumn="0" w:lastRowFirstColumn="0" w:lastRowLastColumn="0"/>
            </w:pPr>
            <w:r>
              <w:rPr>
                <w:color w:val="FFFFFF"/>
              </w:rPr>
              <w:t>Owner</w:t>
            </w:r>
          </w:p>
        </w:tc>
      </w:tr>
      <w:tr w:rsidR="00490560" w14:paraId="0DE2CAD7"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35C8B977" w14:textId="77777777" w:rsidR="00490560" w:rsidRDefault="00000000">
            <w:r>
              <w:t>Q1 2026</w:t>
            </w:r>
          </w:p>
        </w:tc>
        <w:tc>
          <w:tcPr>
            <w:tcW w:w="2880" w:type="dxa"/>
          </w:tcPr>
          <w:p w14:paraId="707FCA24" w14:textId="77777777" w:rsidR="00490560" w:rsidRDefault="00000000">
            <w:pPr>
              <w:cnfStyle w:val="000000100000" w:firstRow="0" w:lastRow="0" w:firstColumn="0" w:lastColumn="0" w:oddVBand="0" w:evenVBand="0" w:oddHBand="1" w:evenHBand="0" w:firstRowFirstColumn="0" w:firstRowLastColumn="0" w:lastRowFirstColumn="0" w:lastRowLastColumn="0"/>
            </w:pPr>
            <w:r>
              <w:t>• Communicate plan to board</w:t>
            </w:r>
            <w:r>
              <w:br/>
              <w:t>• Launch HiPo development program</w:t>
            </w:r>
            <w:r>
              <w:br/>
              <w:t>• Identify emergency GM backup</w:t>
            </w:r>
          </w:p>
        </w:tc>
        <w:tc>
          <w:tcPr>
            <w:tcW w:w="2880" w:type="dxa"/>
          </w:tcPr>
          <w:p w14:paraId="717AC4F4" w14:textId="77777777" w:rsidR="00490560" w:rsidRDefault="00000000">
            <w:pPr>
              <w:cnfStyle w:val="000000100000" w:firstRow="0" w:lastRow="0" w:firstColumn="0" w:lastColumn="0" w:oddVBand="0" w:evenVBand="0" w:oddHBand="1" w:evenHBand="0" w:firstRowFirstColumn="0" w:firstRowLastColumn="0" w:lastRowFirstColumn="0" w:lastRowLastColumn="0"/>
            </w:pPr>
            <w:r>
              <w:t>GM, HR Manager</w:t>
            </w:r>
          </w:p>
        </w:tc>
      </w:tr>
      <w:tr w:rsidR="00490560" w14:paraId="103988C4" w14:textId="77777777" w:rsidTr="004905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508C59DE" w14:textId="77777777" w:rsidR="00490560" w:rsidRDefault="00000000">
            <w:r>
              <w:t>Q2-Q3 2026</w:t>
            </w:r>
          </w:p>
        </w:tc>
        <w:tc>
          <w:tcPr>
            <w:tcW w:w="2880" w:type="dxa"/>
          </w:tcPr>
          <w:p w14:paraId="33608998" w14:textId="77777777" w:rsidR="00490560" w:rsidRDefault="00000000">
            <w:pPr>
              <w:cnfStyle w:val="000000010000" w:firstRow="0" w:lastRow="0" w:firstColumn="0" w:lastColumn="0" w:oddVBand="0" w:evenVBand="0" w:oddHBand="0" w:evenHBand="1" w:firstRowFirstColumn="0" w:firstRowLastColumn="0" w:lastRowFirstColumn="0" w:lastRowLastColumn="0"/>
            </w:pPr>
            <w:r>
              <w:t>• Begin cross-functional rotations</w:t>
            </w:r>
            <w:r>
              <w:br/>
              <w:t>• Enroll successors in leadership development</w:t>
            </w:r>
            <w:r>
              <w:br/>
              <w:t>• Implement mentoring program</w:t>
            </w:r>
          </w:p>
        </w:tc>
        <w:tc>
          <w:tcPr>
            <w:tcW w:w="2880" w:type="dxa"/>
          </w:tcPr>
          <w:p w14:paraId="198B4DEF" w14:textId="77777777" w:rsidR="00490560" w:rsidRDefault="00000000">
            <w:pPr>
              <w:cnfStyle w:val="000000010000" w:firstRow="0" w:lastRow="0" w:firstColumn="0" w:lastColumn="0" w:oddVBand="0" w:evenVBand="0" w:oddHBand="0" w:evenHBand="1" w:firstRowFirstColumn="0" w:firstRowLastColumn="0" w:lastRowFirstColumn="0" w:lastRowLastColumn="0"/>
            </w:pPr>
            <w:r>
              <w:t>Dept Heads, HR</w:t>
            </w:r>
          </w:p>
        </w:tc>
      </w:tr>
      <w:tr w:rsidR="00490560" w14:paraId="7EEE4D04" w14:textId="77777777" w:rsidTr="0049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0A4090DC" w14:textId="77777777" w:rsidR="00490560" w:rsidRDefault="00000000">
            <w:r>
              <w:t>Q4 2026</w:t>
            </w:r>
          </w:p>
        </w:tc>
        <w:tc>
          <w:tcPr>
            <w:tcW w:w="2880" w:type="dxa"/>
          </w:tcPr>
          <w:p w14:paraId="6A02109A" w14:textId="77777777" w:rsidR="00490560" w:rsidRDefault="00000000">
            <w:pPr>
              <w:cnfStyle w:val="000000100000" w:firstRow="0" w:lastRow="0" w:firstColumn="0" w:lastColumn="0" w:oddVBand="0" w:evenVBand="0" w:oddHBand="1" w:evenHBand="0" w:firstRowFirstColumn="0" w:firstRowLastColumn="0" w:lastRowFirstColumn="0" w:lastRowLastColumn="0"/>
            </w:pPr>
            <w:r>
              <w:t>• Mid-year talent review</w:t>
            </w:r>
            <w:r>
              <w:br/>
              <w:t>• Assess development progress</w:t>
            </w:r>
            <w:r>
              <w:br/>
              <w:t>• Adjust development plans</w:t>
            </w:r>
          </w:p>
        </w:tc>
        <w:tc>
          <w:tcPr>
            <w:tcW w:w="2880" w:type="dxa"/>
          </w:tcPr>
          <w:p w14:paraId="6C43C520" w14:textId="77777777" w:rsidR="00490560" w:rsidRDefault="00000000">
            <w:pPr>
              <w:cnfStyle w:val="000000100000" w:firstRow="0" w:lastRow="0" w:firstColumn="0" w:lastColumn="0" w:oddVBand="0" w:evenVBand="0" w:oddHBand="1" w:evenHBand="0" w:firstRowFirstColumn="0" w:firstRowLastColumn="0" w:lastRowFirstColumn="0" w:lastRowLastColumn="0"/>
            </w:pPr>
            <w:r>
              <w:t>GM, HR Manager</w:t>
            </w:r>
          </w:p>
        </w:tc>
      </w:tr>
      <w:tr w:rsidR="00490560" w14:paraId="047C4AF6" w14:textId="77777777" w:rsidTr="004905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170D7DFA" w14:textId="77777777" w:rsidR="00490560" w:rsidRDefault="00000000">
            <w:r>
              <w:t>2027</w:t>
            </w:r>
          </w:p>
        </w:tc>
        <w:tc>
          <w:tcPr>
            <w:tcW w:w="2880" w:type="dxa"/>
          </w:tcPr>
          <w:p w14:paraId="7BA6AC78" w14:textId="77777777" w:rsidR="00490560" w:rsidRDefault="00000000">
            <w:pPr>
              <w:cnfStyle w:val="000000010000" w:firstRow="0" w:lastRow="0" w:firstColumn="0" w:lastColumn="0" w:oddVBand="0" w:evenVBand="0" w:oddHBand="0" w:evenHBand="1" w:firstRowFirstColumn="0" w:firstRowLastColumn="0" w:lastRowFirstColumn="0" w:lastRowLastColumn="0"/>
            </w:pPr>
            <w:r>
              <w:t>• Continue development programs</w:t>
            </w:r>
            <w:r>
              <w:br/>
              <w:t>• Promote ready candidates</w:t>
            </w:r>
            <w:r>
              <w:br/>
              <w:t>• Annual succession plan review</w:t>
            </w:r>
          </w:p>
        </w:tc>
        <w:tc>
          <w:tcPr>
            <w:tcW w:w="2880" w:type="dxa"/>
          </w:tcPr>
          <w:p w14:paraId="443370D4" w14:textId="77777777" w:rsidR="00490560" w:rsidRDefault="00000000">
            <w:pPr>
              <w:cnfStyle w:val="000000010000" w:firstRow="0" w:lastRow="0" w:firstColumn="0" w:lastColumn="0" w:oddVBand="0" w:evenVBand="0" w:oddHBand="0" w:evenHBand="1" w:firstRowFirstColumn="0" w:firstRowLastColumn="0" w:lastRowFirstColumn="0" w:lastRowLastColumn="0"/>
            </w:pPr>
            <w:r>
              <w:t>Executive Team</w:t>
            </w:r>
          </w:p>
        </w:tc>
      </w:tr>
    </w:tbl>
    <w:p w14:paraId="2F547FF5" w14:textId="77777777" w:rsidR="00490560" w:rsidRDefault="00000000">
      <w:r>
        <w:br w:type="page"/>
      </w:r>
    </w:p>
    <w:p w14:paraId="57BDA382" w14:textId="77777777" w:rsidR="00490560" w:rsidRDefault="00000000">
      <w:pPr>
        <w:pStyle w:val="Heading1"/>
      </w:pPr>
      <w:r>
        <w:t>CONCLUSION</w:t>
      </w:r>
    </w:p>
    <w:p w14:paraId="21369356" w14:textId="77777777" w:rsidR="00490560" w:rsidRDefault="00000000">
      <w:r>
        <w:t>Momentum Sports has identified a strong pipeline of internal talent capable of assuming leadership positions across the organization. With focused development investments and structured progression plans, the company is well-positioned to maintain operational continuity and sustain growth momentum.</w:t>
      </w:r>
    </w:p>
    <w:p w14:paraId="45BF0D4E" w14:textId="77777777" w:rsidR="00490560" w:rsidRDefault="00000000">
      <w:r>
        <w:t>The succession planning process has identified 7 high-potential employees (44% of our core team), demonstrating the strength of our talent acquisition and development practices. However, three critical areas require immediate attention: GM emergency backup, operations cross-training, and CTO technical depth development.</w:t>
      </w:r>
    </w:p>
    <w:p w14:paraId="4D6E329E" w14:textId="77777777" w:rsidR="00490560" w:rsidRDefault="00000000">
      <w:r>
        <w:t>Success will require sustained executive commitment to development activities, appropriate investment in leadership training, and regular monitoring of progress against readiness timelines. This succession plan should be reviewed and updated annually, with quarterly check-ins on high-potential employee development.</w:t>
      </w:r>
    </w:p>
    <w:p w14:paraId="1798A39A" w14:textId="77777777" w:rsidR="00490560" w:rsidRDefault="00490560"/>
    <w:p w14:paraId="55C91A5E" w14:textId="77777777" w:rsidR="00490560" w:rsidRDefault="00490560"/>
    <w:p w14:paraId="1F0576AC" w14:textId="77777777" w:rsidR="00490560" w:rsidRDefault="00000000">
      <w:pPr>
        <w:spacing w:before="4000"/>
        <w:jc w:val="center"/>
      </w:pPr>
      <w:r>
        <w:rPr>
          <w:b/>
          <w:color w:val="2C3E50"/>
          <w:sz w:val="48"/>
        </w:rPr>
        <w:t>END OF DOCUMENT</w:t>
      </w:r>
    </w:p>
    <w:p w14:paraId="2FA654E4" w14:textId="77777777" w:rsidR="00490560" w:rsidRDefault="00000000">
      <w:pPr>
        <w:spacing w:before="2000"/>
        <w:jc w:val="center"/>
      </w:pPr>
      <w:r>
        <w:rPr>
          <w:color w:val="7F8C8D"/>
          <w:sz w:val="40"/>
        </w:rPr>
        <w:t>© 2026 Momentum Sports. All Rights Reserved.</w:t>
      </w:r>
    </w:p>
    <w:p w14:paraId="1B136F58" w14:textId="77777777" w:rsidR="00490560" w:rsidRDefault="00000000">
      <w:pPr>
        <w:jc w:val="center"/>
      </w:pPr>
      <w:r>
        <w:rPr>
          <w:b/>
          <w:color w:val="E74C3C"/>
          <w:sz w:val="40"/>
        </w:rPr>
        <w:t>CONFIDENTIAL - EXECUTIVE USE ONLY</w:t>
      </w:r>
    </w:p>
    <w:sectPr w:rsidR="00490560"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315573412">
    <w:abstractNumId w:val="8"/>
  </w:num>
  <w:num w:numId="2" w16cid:durableId="1524247247">
    <w:abstractNumId w:val="6"/>
  </w:num>
  <w:num w:numId="3" w16cid:durableId="1851407369">
    <w:abstractNumId w:val="5"/>
  </w:num>
  <w:num w:numId="4" w16cid:durableId="1593591120">
    <w:abstractNumId w:val="4"/>
  </w:num>
  <w:num w:numId="5" w16cid:durableId="904074784">
    <w:abstractNumId w:val="7"/>
  </w:num>
  <w:num w:numId="6" w16cid:durableId="1804275681">
    <w:abstractNumId w:val="3"/>
  </w:num>
  <w:num w:numId="7" w16cid:durableId="1376732775">
    <w:abstractNumId w:val="2"/>
  </w:num>
  <w:num w:numId="8" w16cid:durableId="701132253">
    <w:abstractNumId w:val="1"/>
  </w:num>
  <w:num w:numId="9" w16cid:durableId="1190487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5E4B"/>
    <w:rsid w:val="00034616"/>
    <w:rsid w:val="0006063C"/>
    <w:rsid w:val="0015074B"/>
    <w:rsid w:val="0029639D"/>
    <w:rsid w:val="00326F90"/>
    <w:rsid w:val="00490560"/>
    <w:rsid w:val="00AA1D8D"/>
    <w:rsid w:val="00B47730"/>
    <w:rsid w:val="00CB0664"/>
    <w:rsid w:val="00E9292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C75495"/>
  <w14:defaultImageDpi w14:val="300"/>
  <w15:docId w15:val="{FA2454BE-31B3-4AC1-A6A1-9BD69C0C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F16AD535-C700-4CE8-B47B-C51B41BC6BC6}"/>
</file>

<file path=customXml/itemProps3.xml><?xml version="1.0" encoding="utf-8"?>
<ds:datastoreItem xmlns:ds="http://schemas.openxmlformats.org/officeDocument/2006/customXml" ds:itemID="{253698F7-A1CC-4206-8A74-92ADA560E810}"/>
</file>

<file path=customXml/itemProps4.xml><?xml version="1.0" encoding="utf-8"?>
<ds:datastoreItem xmlns:ds="http://schemas.openxmlformats.org/officeDocument/2006/customXml" ds:itemID="{67B57DAA-B881-46F2-B88E-5E5A6697A333}"/>
</file>

<file path=docProps/app.xml><?xml version="1.0" encoding="utf-8"?>
<Properties xmlns="http://schemas.openxmlformats.org/officeDocument/2006/extended-properties" xmlns:vt="http://schemas.openxmlformats.org/officeDocument/2006/docPropsVTypes">
  <Template>Normal</Template>
  <TotalTime>0</TotalTime>
  <Pages>10</Pages>
  <Words>1003</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Muneeba Sirshar</cp:lastModifiedBy>
  <cp:revision>2</cp:revision>
  <dcterms:created xsi:type="dcterms:W3CDTF">2026-01-18T15:00:00Z</dcterms:created>
  <dcterms:modified xsi:type="dcterms:W3CDTF">2026-01-18T15:00:00Z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